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Diamondback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Hillary H. Holmes</w:t>
              <w:br/>
              <w:t>Gibson, Dunn &amp; Crutcher LLP, 811 Main Street, Suite 3000</w:t>
              <w:br/>
              <w:t>Houston, TX, 77002</w:t>
              <w:br/>
              <w:t>(346) 718-6600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SGF FANG Holdings,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64,957,047.00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64,957,047.00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64,957,047.00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23.2 %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13: Based upon 280,024,353 shares of Company Common Stock outstanding as of July 31, 2026, as disclosed by the Company in its Form 10-Q filed with the Securities and Exchange Commission (the "SEC") on August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Greth Lyndal</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64,957,047.00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64,957,047.00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64,957,047.00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23.2 %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13: Based upon 280,024,353 shares of Company Common Stock outstanding as of July 31, 2026, as disclosed by the Company in its Form 10-Q filed with the SEC on August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36"/>
        <w:gridCol w:w="8914"/>
        <w:gridCol w:w="155"/>
      </w:tblGrid>
      <w:tr>
        <w:trPr/>
        <w:tc>
          <w:tcPr>
            <w:tcW w:w="1136" w:type="dxa"/>
            <w:tcBorders/>
            <w:vAlign w:val="center"/>
          </w:tcPr>
          <w:p>
            <w:pPr>
              <w:pStyle w:val="TableContents"/>
              <w:bidi w:val="0"/>
              <w:spacing w:before="0" w:after="283"/>
              <w:jc w:val="left"/>
              <w:rPr/>
            </w:pPr>
            <w:r>
              <w:rPr/>
              <w:t>Item 1.</w:t>
            </w:r>
          </w:p>
        </w:tc>
        <w:tc>
          <w:tcPr>
            <w:tcW w:w="8914"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Name of Issuer: </w:t>
            </w:r>
          </w:p>
          <w:p>
            <w:pPr>
              <w:pStyle w:val="TableContents"/>
              <w:bidi w:val="0"/>
              <w:spacing w:before="0" w:after="0"/>
              <w:jc w:val="left"/>
              <w:rPr/>
            </w:pPr>
            <w:r>
              <w:rPr/>
              <w:t>Diamondback Energy, Inc.</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WEST TEXAS AVENUE, SUITE 100, MIDLAND, TEXAS , 79701.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7 amends and supplements the statement on Schedule 13D originally filed with the SEC on September 13, 2024, as amended on September 24, 2024, August 15, 2025, December 2, 2025, February 5, 2026, March 16, 2026, and June 5, 2026 (the "Schedule 13D"), by the Reporting Persons with respect to shares of Company Common Stock. Unless otherwise defined herein, capitalized terms used in this Amendment No. 7 shall have the meanings ascribed to them in the Schedule 13D. Unless amended or supplemented below, the information in the Schedule 13D remains unchanged.</w:t>
            </w:r>
          </w:p>
        </w:tc>
      </w:tr>
      <w:tr>
        <w:trPr/>
        <w:tc>
          <w:tcPr>
            <w:tcW w:w="1136" w:type="dxa"/>
            <w:tcBorders/>
            <w:vAlign w:val="center"/>
          </w:tcPr>
          <w:p>
            <w:pPr>
              <w:pStyle w:val="TableContents"/>
              <w:bidi w:val="0"/>
              <w:spacing w:before="0" w:after="283"/>
              <w:jc w:val="left"/>
              <w:rPr/>
            </w:pPr>
            <w:r>
              <w:rPr/>
              <w:t>Item 4.</w:t>
            </w:r>
          </w:p>
        </w:tc>
        <w:tc>
          <w:tcPr>
            <w:tcW w:w="8914"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Item 4 is hereby amended and supplemented to add the following: On September 16, 2026, SGF FANG sold an aggregate of 9,079,675 shares of Common Stock at a price of $205.26 per share pursuant to Rule 144 under the Securities Act of 1933, as amended (the "September 16, 2026 Sale"). In connection with the September 16, 2026 Sale, SGF FANG is subject to a lock-up period from September 16, 2026 through the date 30 days after September 16, 2026, during which SGF FANG may not sell any shares of Common Stock without the mutual agreement of SGF FANG and Morgan Stanley &amp; Co. LLC.</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5.</w:t>
            </w:r>
          </w:p>
        </w:tc>
        <w:tc>
          <w:tcPr>
            <w:tcW w:w="8914"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spacing w:before="0" w:after="0"/>
              <w:jc w:val="left"/>
              <w:rPr/>
            </w:pPr>
            <w:r>
              <w:rPr/>
              <w:t>Item 5(a) is hereby amended and restated in full. The information contained on the cover pages and Item 2 to this Schedule 13D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spacing w:before="0" w:after="0"/>
              <w:jc w:val="left"/>
              <w:rPr/>
            </w:pPr>
            <w:r>
              <w:rPr/>
              <w:t>Item 5(b) is hereby amended and restated in full. The information contained on the cover pages and Item 2 to this Schedule 13D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0"/>
              <w:jc w:val="left"/>
              <w:rPr/>
            </w:pPr>
            <w:r>
              <w:rPr/>
              <w:t>Item 5(c) is hereby amended and supplemented to add the information set forth in Item 4 of this Schedule 13D.</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6.</w:t>
            </w:r>
          </w:p>
        </w:tc>
        <w:tc>
          <w:tcPr>
            <w:tcW w:w="8914"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Item 6 is hereby amended and supplemented to add the information set forth in Item 4 of this Schedule 13D.</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SGF FANG Holdings, LP</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89"/>
        <w:gridCol w:w="4116"/>
      </w:tblGrid>
      <w:tr>
        <w:trPr/>
        <w:tc>
          <w:tcPr>
            <w:tcW w:w="60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Kevin T. Keen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Kevin T. Keen/Attorney-in-fact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116" w:type="dxa"/>
            <w:tcBorders/>
            <w:vAlign w:val="center"/>
          </w:tcPr>
          <w:p>
            <w:pPr>
              <w:pStyle w:val="TableContents"/>
              <w:bidi w:val="0"/>
              <w:spacing w:before="0" w:after="283"/>
              <w:jc w:val="left"/>
              <w:rPr>
                <w:sz w:val="4"/>
                <w:szCs w:val="4"/>
              </w:rPr>
            </w:pPr>
            <w:r>
              <w:rPr>
                <w:sz w:val="4"/>
                <w:szCs w:val="4"/>
              </w:rPr>
            </w:r>
          </w:p>
        </w:tc>
      </w:tr>
    </w:tbl>
    <w:tbl>
      <w:tblPr>
        <w:tblW w:w="3140" w:type="dxa"/>
        <w:jc w:val="left"/>
        <w:tblInd w:w="0" w:type="dxa"/>
        <w:tblLayout w:type="fixed"/>
        <w:tblCellMar>
          <w:top w:w="28" w:type="dxa"/>
          <w:left w:w="28" w:type="dxa"/>
          <w:bottom w:w="28" w:type="dxa"/>
          <w:right w:w="28" w:type="dxa"/>
        </w:tblCellMar>
      </w:tblPr>
      <w:tblGrid>
        <w:gridCol w:w="1570"/>
        <w:gridCol w:w="1570"/>
      </w:tblGrid>
      <w:tr>
        <w:trPr/>
        <w:tc>
          <w:tcPr>
            <w:tcW w:w="1570" w:type="dxa"/>
            <w:tcBorders/>
            <w:vAlign w:val="center"/>
          </w:tcPr>
          <w:p>
            <w:pPr>
              <w:pStyle w:val="TableContents"/>
              <w:bidi w:val="0"/>
              <w:spacing w:before="0" w:after="0"/>
              <w:jc w:val="left"/>
              <w:rPr/>
            </w:pPr>
            <w:r>
              <w:rPr/>
              <w:t> </w:t>
            </w:r>
          </w:p>
          <w:tbl>
            <w:tblPr>
              <w:tblW w:w="1441" w:type="dxa"/>
              <w:jc w:val="left"/>
              <w:tblInd w:w="0" w:type="dxa"/>
              <w:tblLayout w:type="fixed"/>
              <w:tblCellMar>
                <w:top w:w="28" w:type="dxa"/>
                <w:left w:w="28" w:type="dxa"/>
                <w:bottom w:w="28" w:type="dxa"/>
                <w:right w:w="28" w:type="dxa"/>
              </w:tblCellMar>
            </w:tblPr>
            <w:tblGrid>
              <w:gridCol w:w="1441"/>
            </w:tblGrid>
            <w:tr>
              <w:trPr/>
              <w:tc>
                <w:tcPr>
                  <w:tcW w:w="1441" w:type="dxa"/>
                  <w:tcBorders/>
                  <w:vAlign w:val="center"/>
                </w:tcPr>
                <w:p>
                  <w:pPr>
                    <w:pStyle w:val="TableContents"/>
                    <w:bidi w:val="0"/>
                    <w:spacing w:before="0" w:after="0"/>
                    <w:jc w:val="left"/>
                    <w:rPr/>
                  </w:pPr>
                  <w:r>
                    <w:rPr/>
                    <w:t>Greth Lyndal</w:t>
                  </w:r>
                </w:p>
              </w:tc>
            </w:tr>
          </w:tbl>
          <w:p>
            <w:pPr>
              <w:pStyle w:val="TableContents"/>
              <w:bidi w:val="0"/>
              <w:spacing w:before="0" w:after="283"/>
              <w:jc w:val="left"/>
              <w:rPr/>
            </w:pPr>
            <w:r>
              <w:rPr/>
            </w:r>
          </w:p>
        </w:tc>
        <w:tc>
          <w:tcPr>
            <w:tcW w:w="15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89"/>
        <w:gridCol w:w="4116"/>
      </w:tblGrid>
      <w:tr>
        <w:trPr/>
        <w:tc>
          <w:tcPr>
            <w:tcW w:w="60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Kevin T. Keen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Kevin T. Keen/Attorney-in-fact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11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962</Words>
  <Characters>4836</Characters>
  <CharactersWithSpaces>5730</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